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745E" w14:textId="77777777" w:rsidR="00360E15" w:rsidRPr="00360E15" w:rsidRDefault="00360E15" w:rsidP="00360E15">
      <w:r w:rsidRPr="00360E15">
        <w:t xml:space="preserve">Para </w:t>
      </w:r>
      <w:r w:rsidRPr="00360E15">
        <w:rPr>
          <w:b/>
          <w:bCs/>
        </w:rPr>
        <w:t>habilitar adecuadamente el área de atención al cliente</w:t>
      </w:r>
      <w:r w:rsidRPr="00360E15">
        <w:t xml:space="preserve"> antes de iniciar el servicio, es fundamental seguir estos pasos para garantizar una experiencia óptima:</w:t>
      </w:r>
    </w:p>
    <w:p w14:paraId="2380AD7A" w14:textId="615D7584" w:rsidR="00360E15" w:rsidRDefault="00955239" w:rsidP="00360E15">
      <w:r>
        <w:t>En la casilla de verificado escribe una “√” si lo especificado esta como se solicita.</w:t>
      </w:r>
    </w:p>
    <w:p w14:paraId="47868375" w14:textId="77777777" w:rsidR="00955239" w:rsidRPr="00360E15" w:rsidRDefault="00955239" w:rsidP="00360E1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1"/>
        <w:gridCol w:w="1475"/>
        <w:gridCol w:w="2854"/>
      </w:tblGrid>
      <w:tr w:rsidR="00360E15" w14:paraId="29FA5593" w14:textId="77777777" w:rsidTr="00E36F6E">
        <w:tc>
          <w:tcPr>
            <w:tcW w:w="6941" w:type="dxa"/>
            <w:shd w:val="clear" w:color="auto" w:fill="002060"/>
          </w:tcPr>
          <w:p w14:paraId="2B124B1D" w14:textId="60AC59B0" w:rsidR="00360E15" w:rsidRPr="00360E15" w:rsidRDefault="00360E15" w:rsidP="00360E15">
            <w:pPr>
              <w:jc w:val="center"/>
              <w:rPr>
                <w:b/>
                <w:bCs/>
              </w:rPr>
            </w:pPr>
            <w:r w:rsidRPr="00360E15">
              <w:rPr>
                <w:b/>
                <w:bCs/>
              </w:rPr>
              <w:t>ASPECTO QUE CONSIDERAR</w:t>
            </w:r>
          </w:p>
        </w:tc>
        <w:tc>
          <w:tcPr>
            <w:tcW w:w="851" w:type="dxa"/>
            <w:shd w:val="clear" w:color="auto" w:fill="002060"/>
          </w:tcPr>
          <w:p w14:paraId="77D8531A" w14:textId="4349C122" w:rsidR="00360E15" w:rsidRPr="00360E15" w:rsidRDefault="00360E15" w:rsidP="00360E15">
            <w:pPr>
              <w:rPr>
                <w:b/>
                <w:bCs/>
              </w:rPr>
            </w:pPr>
            <w:r w:rsidRPr="00360E15">
              <w:rPr>
                <w:b/>
                <w:bCs/>
              </w:rPr>
              <w:t>VERIFICADO</w:t>
            </w:r>
          </w:p>
        </w:tc>
        <w:tc>
          <w:tcPr>
            <w:tcW w:w="2998" w:type="dxa"/>
            <w:shd w:val="clear" w:color="auto" w:fill="002060"/>
          </w:tcPr>
          <w:p w14:paraId="40F8F5CB" w14:textId="5BB1FC83" w:rsidR="00360E15" w:rsidRPr="00360E15" w:rsidRDefault="00360E15" w:rsidP="00360E15">
            <w:pPr>
              <w:jc w:val="center"/>
              <w:rPr>
                <w:b/>
                <w:bCs/>
              </w:rPr>
            </w:pPr>
            <w:r w:rsidRPr="00360E15">
              <w:rPr>
                <w:b/>
                <w:bCs/>
              </w:rPr>
              <w:t>PROPOSITO</w:t>
            </w:r>
          </w:p>
        </w:tc>
      </w:tr>
      <w:tr w:rsidR="00360E15" w14:paraId="73768AF5" w14:textId="77777777" w:rsidTr="00360E15">
        <w:tc>
          <w:tcPr>
            <w:tcW w:w="6941" w:type="dxa"/>
            <w:vAlign w:val="center"/>
          </w:tcPr>
          <w:p w14:paraId="17E72626" w14:textId="77777777" w:rsidR="00360E15" w:rsidRPr="00360E15" w:rsidRDefault="00360E15" w:rsidP="00360E15">
            <w:pPr>
              <w:numPr>
                <w:ilvl w:val="0"/>
                <w:numId w:val="14"/>
              </w:numPr>
              <w:spacing w:after="80"/>
              <w:jc w:val="both"/>
              <w:rPr>
                <w:sz w:val="28"/>
                <w:szCs w:val="28"/>
              </w:rPr>
            </w:pPr>
            <w:r w:rsidRPr="00360E15">
              <w:rPr>
                <w:b/>
                <w:bCs/>
                <w:sz w:val="28"/>
                <w:szCs w:val="28"/>
              </w:rPr>
              <w:t>Verificación de orden y limpieza</w:t>
            </w:r>
            <w:r w:rsidRPr="00360E15">
              <w:rPr>
                <w:sz w:val="28"/>
                <w:szCs w:val="28"/>
              </w:rPr>
              <w:t>:</w:t>
            </w:r>
          </w:p>
          <w:p w14:paraId="03B1A04E" w14:textId="71A2D0C2" w:rsidR="00360E15" w:rsidRDefault="00360E15" w:rsidP="00360E15">
            <w:pPr>
              <w:spacing w:after="80"/>
              <w:ind w:left="720"/>
              <w:jc w:val="both"/>
            </w:pPr>
            <w:r w:rsidRPr="00360E15">
              <w:t xml:space="preserve">Asegúrate de que el área de atención esté completamente organizada y limpia, cumpliendo con los estándares de la organización. Esto incluye </w:t>
            </w:r>
            <w:r w:rsidRPr="00360E15">
              <w:rPr>
                <w:b/>
                <w:bCs/>
              </w:rPr>
              <w:t>escritorios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espacios comunes</w:t>
            </w:r>
            <w:r w:rsidRPr="00360E15">
              <w:t xml:space="preserve"> y cualquier </w:t>
            </w:r>
            <w:r w:rsidRPr="00360E15">
              <w:rPr>
                <w:b/>
                <w:bCs/>
              </w:rPr>
              <w:t>lugar donde se interactúe con los clientes.</w:t>
            </w:r>
            <w:r w:rsidRPr="00360E15">
              <w:t xml:space="preserve"> </w:t>
            </w:r>
          </w:p>
        </w:tc>
        <w:tc>
          <w:tcPr>
            <w:tcW w:w="851" w:type="dxa"/>
            <w:vAlign w:val="center"/>
          </w:tcPr>
          <w:p w14:paraId="505F70C7" w14:textId="77777777" w:rsidR="00360E15" w:rsidRDefault="00360E15" w:rsidP="00360E15"/>
        </w:tc>
        <w:tc>
          <w:tcPr>
            <w:tcW w:w="2998" w:type="dxa"/>
            <w:vAlign w:val="center"/>
          </w:tcPr>
          <w:p w14:paraId="78767514" w14:textId="0E2F9E30" w:rsidR="00360E15" w:rsidRDefault="00360E15" w:rsidP="00360E15">
            <w:pPr>
              <w:jc w:val="both"/>
            </w:pPr>
            <w:r w:rsidRPr="00360E15">
              <w:t>Un entorno limpio refleja profesionalismo y cuidado por los detalles.</w:t>
            </w:r>
          </w:p>
        </w:tc>
      </w:tr>
      <w:tr w:rsidR="00360E15" w14:paraId="2E4BFA92" w14:textId="77777777" w:rsidTr="00360E15">
        <w:tc>
          <w:tcPr>
            <w:tcW w:w="6941" w:type="dxa"/>
            <w:vAlign w:val="center"/>
          </w:tcPr>
          <w:p w14:paraId="25BDBB3D" w14:textId="586E2860" w:rsidR="00360E15" w:rsidRDefault="00360E15" w:rsidP="00360E15">
            <w:pPr>
              <w:numPr>
                <w:ilvl w:val="0"/>
                <w:numId w:val="14"/>
              </w:numPr>
              <w:spacing w:after="80"/>
              <w:jc w:val="both"/>
            </w:pPr>
            <w:r w:rsidRPr="00360E15">
              <w:rPr>
                <w:b/>
                <w:bCs/>
                <w:sz w:val="28"/>
                <w:szCs w:val="28"/>
              </w:rPr>
              <w:t>Preparación de materiales y herramientas</w:t>
            </w:r>
            <w:r w:rsidRPr="00360E15">
              <w:rPr>
                <w:sz w:val="28"/>
                <w:szCs w:val="28"/>
              </w:rPr>
              <w:t>:</w:t>
            </w:r>
            <w:r w:rsidRPr="00360E15">
              <w:br/>
              <w:t xml:space="preserve">Revisa que todos los materiales necesarios para la atención estén listos y disponibles. Esto puede incluir </w:t>
            </w:r>
            <w:r w:rsidRPr="00360E15">
              <w:rPr>
                <w:b/>
                <w:bCs/>
              </w:rPr>
              <w:t>manuales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formularios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catálogos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computadoras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teléfonos</w:t>
            </w:r>
            <w:r w:rsidRPr="00360E15">
              <w:t xml:space="preserve">, y cualquier otra </w:t>
            </w:r>
            <w:r w:rsidRPr="00360E15">
              <w:rPr>
                <w:b/>
                <w:bCs/>
              </w:rPr>
              <w:t>herramienta específica del proceso de atención</w:t>
            </w:r>
            <w:r>
              <w:rPr>
                <w:b/>
                <w:bCs/>
              </w:rPr>
              <w:t>.</w:t>
            </w:r>
          </w:p>
        </w:tc>
        <w:tc>
          <w:tcPr>
            <w:tcW w:w="851" w:type="dxa"/>
            <w:vAlign w:val="center"/>
          </w:tcPr>
          <w:p w14:paraId="7AC4CBBA" w14:textId="77777777" w:rsidR="00360E15" w:rsidRDefault="00360E15" w:rsidP="00360E15"/>
        </w:tc>
        <w:tc>
          <w:tcPr>
            <w:tcW w:w="2998" w:type="dxa"/>
            <w:vAlign w:val="center"/>
          </w:tcPr>
          <w:p w14:paraId="6AC8A417" w14:textId="29405B0E" w:rsidR="00360E15" w:rsidRDefault="00360E15" w:rsidP="00872237">
            <w:pPr>
              <w:jc w:val="both"/>
            </w:pPr>
            <w:r w:rsidRPr="00360E15">
              <w:t>Estar bien preparado permite ofrecer un servicio más ágil y eficiente.</w:t>
            </w:r>
          </w:p>
        </w:tc>
      </w:tr>
      <w:tr w:rsidR="00360E15" w14:paraId="632EE79B" w14:textId="77777777" w:rsidTr="00360E15">
        <w:tc>
          <w:tcPr>
            <w:tcW w:w="6941" w:type="dxa"/>
            <w:vAlign w:val="center"/>
          </w:tcPr>
          <w:p w14:paraId="5A5D6FE7" w14:textId="77777777" w:rsidR="00360E15" w:rsidRPr="00360E15" w:rsidRDefault="00360E15" w:rsidP="00360E15">
            <w:pPr>
              <w:numPr>
                <w:ilvl w:val="0"/>
                <w:numId w:val="17"/>
              </w:numPr>
              <w:spacing w:after="80"/>
              <w:jc w:val="both"/>
            </w:pPr>
            <w:r w:rsidRPr="00360E15">
              <w:rPr>
                <w:b/>
                <w:bCs/>
                <w:sz w:val="28"/>
                <w:szCs w:val="28"/>
              </w:rPr>
              <w:t>Verificación de condiciones de operación del medio de comunicación</w:t>
            </w:r>
            <w:r w:rsidRPr="00360E15">
              <w:rPr>
                <w:sz w:val="28"/>
                <w:szCs w:val="28"/>
              </w:rPr>
              <w:t>:</w:t>
            </w:r>
          </w:p>
          <w:p w14:paraId="33D88264" w14:textId="4D9AC630" w:rsidR="00360E15" w:rsidRDefault="00360E15" w:rsidP="00360E15">
            <w:pPr>
              <w:spacing w:after="80"/>
              <w:ind w:left="720"/>
              <w:jc w:val="both"/>
            </w:pPr>
            <w:r w:rsidRPr="00360E15">
              <w:t xml:space="preserve">Asegúrate de que los canales de comunicación estén operativos. Si el servicio se brinda por </w:t>
            </w:r>
            <w:r w:rsidRPr="00360E15">
              <w:rPr>
                <w:b/>
                <w:bCs/>
              </w:rPr>
              <w:t>teléfono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chat</w:t>
            </w:r>
            <w:r w:rsidRPr="00360E15">
              <w:t xml:space="preserve"> o </w:t>
            </w:r>
            <w:r w:rsidRPr="00360E15">
              <w:rPr>
                <w:b/>
                <w:bCs/>
              </w:rPr>
              <w:t>email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verifica que los sistemas funcionen correctamente</w:t>
            </w:r>
            <w:r w:rsidRPr="00360E15">
              <w:t xml:space="preserve"> (conexión a </w:t>
            </w:r>
            <w:r w:rsidRPr="00360E15">
              <w:rPr>
                <w:b/>
                <w:bCs/>
              </w:rPr>
              <w:t>internet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líneas telefónicas activas</w:t>
            </w:r>
            <w:r w:rsidRPr="00360E15">
              <w:t xml:space="preserve">, </w:t>
            </w:r>
            <w:r w:rsidRPr="00360E15">
              <w:rPr>
                <w:b/>
                <w:bCs/>
              </w:rPr>
              <w:t>sistemas de chat</w:t>
            </w:r>
            <w:r w:rsidRPr="00360E15">
              <w:t xml:space="preserve"> y </w:t>
            </w:r>
            <w:r w:rsidRPr="00360E15">
              <w:rPr>
                <w:b/>
                <w:bCs/>
              </w:rPr>
              <w:t>CRM</w:t>
            </w:r>
            <w:r w:rsidRPr="00360E15">
              <w:t xml:space="preserve">). </w:t>
            </w:r>
          </w:p>
        </w:tc>
        <w:tc>
          <w:tcPr>
            <w:tcW w:w="851" w:type="dxa"/>
            <w:vAlign w:val="center"/>
          </w:tcPr>
          <w:p w14:paraId="140EF785" w14:textId="77777777" w:rsidR="00360E15" w:rsidRDefault="00360E15" w:rsidP="00360E15"/>
        </w:tc>
        <w:tc>
          <w:tcPr>
            <w:tcW w:w="2998" w:type="dxa"/>
            <w:vAlign w:val="center"/>
          </w:tcPr>
          <w:p w14:paraId="1D3A5DD8" w14:textId="70594AD3" w:rsidR="00360E15" w:rsidRDefault="00360E15" w:rsidP="00360E15">
            <w:pPr>
              <w:jc w:val="both"/>
            </w:pPr>
            <w:r w:rsidRPr="00360E15">
              <w:t>Cualquier fallo en estos medios podría afectar la experiencia del cliente y generar demoras en la atención.</w:t>
            </w:r>
          </w:p>
        </w:tc>
      </w:tr>
    </w:tbl>
    <w:p w14:paraId="0D1C5737" w14:textId="3BA0A3F2" w:rsidR="00F504DD" w:rsidRDefault="00F504DD" w:rsidP="00360E15"/>
    <w:p w14:paraId="5FD771DD" w14:textId="67381A7A" w:rsidR="00360E15" w:rsidRDefault="00360E15" w:rsidP="00360E15">
      <w:r w:rsidRPr="00360E15">
        <w:t>Siguiendo estos pasos, se asegura un entorno profesional y eficiente para comenzar el servicio con la mejor disposición.</w:t>
      </w:r>
    </w:p>
    <w:p w14:paraId="3E0FAD06" w14:textId="77777777" w:rsidR="00872237" w:rsidRDefault="00872237" w:rsidP="00360E15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87"/>
      </w:tblGrid>
      <w:tr w:rsidR="00955239" w14:paraId="4D9D2AF1" w14:textId="77777777" w:rsidTr="00E36F6E">
        <w:trPr>
          <w:jc w:val="center"/>
        </w:trPr>
        <w:tc>
          <w:tcPr>
            <w:tcW w:w="5387" w:type="dxa"/>
            <w:shd w:val="clear" w:color="auto" w:fill="002060"/>
          </w:tcPr>
          <w:p w14:paraId="01845AD4" w14:textId="2954DE33" w:rsidR="00955239" w:rsidRPr="00200693" w:rsidRDefault="00955239" w:rsidP="00896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Área de atención a clientes</w:t>
            </w:r>
          </w:p>
        </w:tc>
      </w:tr>
      <w:tr w:rsidR="00955239" w14:paraId="26CD2D7E" w14:textId="77777777" w:rsidTr="00955239">
        <w:trPr>
          <w:trHeight w:val="547"/>
          <w:jc w:val="center"/>
        </w:trPr>
        <w:tc>
          <w:tcPr>
            <w:tcW w:w="5387" w:type="dxa"/>
          </w:tcPr>
          <w:p w14:paraId="7B078F49" w14:textId="77777777" w:rsidR="00955239" w:rsidRDefault="00955239" w:rsidP="00896A64"/>
          <w:p w14:paraId="5E6788AD" w14:textId="77777777" w:rsidR="00955239" w:rsidRDefault="00955239" w:rsidP="00896A64"/>
          <w:p w14:paraId="0E42769D" w14:textId="3A3ABD37" w:rsidR="00955239" w:rsidRDefault="00955239" w:rsidP="00896A64"/>
        </w:tc>
      </w:tr>
      <w:tr w:rsidR="00955239" w14:paraId="58860849" w14:textId="77777777" w:rsidTr="00955239">
        <w:trPr>
          <w:jc w:val="center"/>
        </w:trPr>
        <w:tc>
          <w:tcPr>
            <w:tcW w:w="5387" w:type="dxa"/>
          </w:tcPr>
          <w:p w14:paraId="031F0817" w14:textId="16DB2C5F" w:rsidR="00955239" w:rsidRDefault="00955239" w:rsidP="00955239">
            <w:pPr>
              <w:jc w:val="center"/>
            </w:pPr>
            <w:r>
              <w:t>Verifica</w:t>
            </w:r>
          </w:p>
        </w:tc>
      </w:tr>
    </w:tbl>
    <w:p w14:paraId="74E14797" w14:textId="77777777" w:rsidR="00955239" w:rsidRPr="00360E15" w:rsidRDefault="00955239" w:rsidP="00360E15"/>
    <w:sectPr w:rsidR="00955239" w:rsidRPr="00360E15" w:rsidSect="00360E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C50D8" w14:textId="77777777" w:rsidR="00CE0391" w:rsidRDefault="00CE0391" w:rsidP="004B17E2">
      <w:pPr>
        <w:spacing w:after="0"/>
      </w:pPr>
      <w:r>
        <w:separator/>
      </w:r>
    </w:p>
  </w:endnote>
  <w:endnote w:type="continuationSeparator" w:id="0">
    <w:p w14:paraId="617432C5" w14:textId="77777777" w:rsidR="00CE0391" w:rsidRDefault="00CE0391" w:rsidP="004B1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DBBE" w14:textId="77777777" w:rsidR="00E36F6E" w:rsidRDefault="00E36F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18E1DA95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A39ED3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6B9FE16E" w:rsidR="004B17E2" w:rsidRDefault="00E36F6E" w:rsidP="004B17E2">
    <w:pPr>
      <w:pStyle w:val="Piedepgina"/>
      <w:jc w:val="center"/>
    </w:pPr>
    <w:proofErr w:type="spellStart"/>
    <w:r>
      <w:t>xxxxxxxxxxxxxxxxxxxxxxxxxxxxxxxxxxxxxxxxxx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73B3" w14:textId="77777777" w:rsidR="00E36F6E" w:rsidRDefault="00E36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96A9" w14:textId="77777777" w:rsidR="00CE0391" w:rsidRDefault="00CE0391" w:rsidP="004B17E2">
      <w:pPr>
        <w:spacing w:after="0"/>
      </w:pPr>
      <w:r>
        <w:separator/>
      </w:r>
    </w:p>
  </w:footnote>
  <w:footnote w:type="continuationSeparator" w:id="0">
    <w:p w14:paraId="01A3435E" w14:textId="77777777" w:rsidR="00CE0391" w:rsidRDefault="00CE0391" w:rsidP="004B1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46E3" w14:textId="77777777" w:rsidR="00E36F6E" w:rsidRDefault="00E36F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140101A0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05A800B7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720F1633" w14:textId="2C02FC4D" w:rsidR="002F4AD5" w:rsidRPr="004B17E2" w:rsidRDefault="002F4AD5" w:rsidP="002F4AD5">
          <w:pPr>
            <w:jc w:val="center"/>
            <w:rPr>
              <w:b/>
              <w:bCs/>
            </w:rPr>
          </w:pPr>
          <w:r w:rsidRPr="002F4AD5">
            <w:rPr>
              <w:b/>
              <w:bCs/>
              <w:sz w:val="32"/>
              <w:szCs w:val="32"/>
            </w:rPr>
            <w:t xml:space="preserve">Bitácora de orden, limpieza, materiales y equipo </w:t>
          </w:r>
        </w:p>
        <w:p w14:paraId="0EC51C9D" w14:textId="6ADA0D64" w:rsidR="002A78D1" w:rsidRPr="004B17E2" w:rsidRDefault="002A78D1" w:rsidP="002A78D1">
          <w:pPr>
            <w:jc w:val="center"/>
            <w:rPr>
              <w:b/>
              <w:bCs/>
            </w:rPr>
          </w:pP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5D84AE12" w:rsidR="004B17E2" w:rsidRDefault="002F4AD5" w:rsidP="002F4AD5">
          <w:pPr>
            <w:pStyle w:val="Encabezado"/>
            <w:jc w:val="center"/>
          </w:pPr>
          <w:r w:rsidRPr="002F4AD5">
            <w:rPr>
              <w:b/>
              <w:bCs/>
              <w:sz w:val="32"/>
              <w:szCs w:val="32"/>
            </w:rPr>
            <w:t>F01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8EBA" w14:textId="77777777" w:rsidR="00E36F6E" w:rsidRDefault="00E36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3D2C"/>
    <w:multiLevelType w:val="multilevel"/>
    <w:tmpl w:val="026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C1980"/>
    <w:multiLevelType w:val="multilevel"/>
    <w:tmpl w:val="F010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526F9"/>
    <w:multiLevelType w:val="multilevel"/>
    <w:tmpl w:val="F010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96A26"/>
    <w:multiLevelType w:val="multilevel"/>
    <w:tmpl w:val="14D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57F96"/>
    <w:multiLevelType w:val="multilevel"/>
    <w:tmpl w:val="E12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75705"/>
    <w:multiLevelType w:val="multilevel"/>
    <w:tmpl w:val="305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C0880"/>
    <w:multiLevelType w:val="multilevel"/>
    <w:tmpl w:val="8CA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F5A6C"/>
    <w:multiLevelType w:val="multilevel"/>
    <w:tmpl w:val="54D6FC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10220D0"/>
    <w:multiLevelType w:val="multilevel"/>
    <w:tmpl w:val="FA0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02B78"/>
    <w:multiLevelType w:val="multilevel"/>
    <w:tmpl w:val="F0101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E6080C"/>
    <w:multiLevelType w:val="multilevel"/>
    <w:tmpl w:val="C7C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21534"/>
    <w:multiLevelType w:val="multilevel"/>
    <w:tmpl w:val="4D2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76568"/>
    <w:multiLevelType w:val="multilevel"/>
    <w:tmpl w:val="3AD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8D211B"/>
    <w:multiLevelType w:val="multilevel"/>
    <w:tmpl w:val="793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C65AD"/>
    <w:multiLevelType w:val="multilevel"/>
    <w:tmpl w:val="C36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05D10"/>
    <w:multiLevelType w:val="multilevel"/>
    <w:tmpl w:val="E4FC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E9C789A"/>
    <w:multiLevelType w:val="multilevel"/>
    <w:tmpl w:val="F10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267250">
    <w:abstractNumId w:val="3"/>
  </w:num>
  <w:num w:numId="2" w16cid:durableId="2005351224">
    <w:abstractNumId w:val="10"/>
  </w:num>
  <w:num w:numId="3" w16cid:durableId="1742868970">
    <w:abstractNumId w:val="0"/>
  </w:num>
  <w:num w:numId="4" w16cid:durableId="901676442">
    <w:abstractNumId w:val="14"/>
  </w:num>
  <w:num w:numId="5" w16cid:durableId="1585458707">
    <w:abstractNumId w:val="12"/>
  </w:num>
  <w:num w:numId="6" w16cid:durableId="1393962704">
    <w:abstractNumId w:val="5"/>
  </w:num>
  <w:num w:numId="7" w16cid:durableId="915093428">
    <w:abstractNumId w:val="16"/>
  </w:num>
  <w:num w:numId="8" w16cid:durableId="1438788038">
    <w:abstractNumId w:val="4"/>
  </w:num>
  <w:num w:numId="9" w16cid:durableId="1511532221">
    <w:abstractNumId w:val="11"/>
  </w:num>
  <w:num w:numId="10" w16cid:durableId="1055084106">
    <w:abstractNumId w:val="13"/>
  </w:num>
  <w:num w:numId="11" w16cid:durableId="1357386881">
    <w:abstractNumId w:val="8"/>
  </w:num>
  <w:num w:numId="12" w16cid:durableId="693729468">
    <w:abstractNumId w:val="6"/>
  </w:num>
  <w:num w:numId="13" w16cid:durableId="2241695">
    <w:abstractNumId w:val="1"/>
  </w:num>
  <w:num w:numId="14" w16cid:durableId="1968706012">
    <w:abstractNumId w:val="15"/>
  </w:num>
  <w:num w:numId="15" w16cid:durableId="1737170811">
    <w:abstractNumId w:val="2"/>
  </w:num>
  <w:num w:numId="16" w16cid:durableId="1404179946">
    <w:abstractNumId w:val="9"/>
  </w:num>
  <w:num w:numId="17" w16cid:durableId="1481790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960CD"/>
    <w:rsid w:val="000D109E"/>
    <w:rsid w:val="000F636D"/>
    <w:rsid w:val="00113A06"/>
    <w:rsid w:val="00154557"/>
    <w:rsid w:val="001B195F"/>
    <w:rsid w:val="001F2236"/>
    <w:rsid w:val="00200693"/>
    <w:rsid w:val="002131CF"/>
    <w:rsid w:val="002A78D1"/>
    <w:rsid w:val="002F4AD5"/>
    <w:rsid w:val="0035302D"/>
    <w:rsid w:val="00360E15"/>
    <w:rsid w:val="0038491E"/>
    <w:rsid w:val="0039723B"/>
    <w:rsid w:val="00470C78"/>
    <w:rsid w:val="004B17E2"/>
    <w:rsid w:val="004C2F3B"/>
    <w:rsid w:val="004F3F2D"/>
    <w:rsid w:val="00577CB6"/>
    <w:rsid w:val="00596BF1"/>
    <w:rsid w:val="006860D2"/>
    <w:rsid w:val="00700498"/>
    <w:rsid w:val="00764BEA"/>
    <w:rsid w:val="007A371E"/>
    <w:rsid w:val="008038BC"/>
    <w:rsid w:val="00821F8F"/>
    <w:rsid w:val="00872237"/>
    <w:rsid w:val="008D5FAE"/>
    <w:rsid w:val="00955239"/>
    <w:rsid w:val="009841BE"/>
    <w:rsid w:val="00992B2E"/>
    <w:rsid w:val="009C0938"/>
    <w:rsid w:val="00AB0C38"/>
    <w:rsid w:val="00B22327"/>
    <w:rsid w:val="00B25425"/>
    <w:rsid w:val="00B26E59"/>
    <w:rsid w:val="00B62646"/>
    <w:rsid w:val="00C71983"/>
    <w:rsid w:val="00CA0614"/>
    <w:rsid w:val="00CE0391"/>
    <w:rsid w:val="00D2379F"/>
    <w:rsid w:val="00E0358A"/>
    <w:rsid w:val="00E36F6E"/>
    <w:rsid w:val="00E9372B"/>
    <w:rsid w:val="00F11642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7</cp:revision>
  <dcterms:created xsi:type="dcterms:W3CDTF">2024-10-10T16:14:00Z</dcterms:created>
  <dcterms:modified xsi:type="dcterms:W3CDTF">2025-09-23T21:47:00Z</dcterms:modified>
</cp:coreProperties>
</file>